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5C" w:rsidRDefault="00B1435C" w:rsidP="00B1435C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D406C7" w:rsidRPr="0079327B" w:rsidRDefault="00D406C7" w:rsidP="00B1435C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B1435C" w:rsidRPr="00B1435C" w:rsidRDefault="00B1435C" w:rsidP="00B1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5C">
        <w:rPr>
          <w:rFonts w:ascii="Times New Roman" w:hAnsi="Times New Roman" w:cs="Times New Roman"/>
          <w:b/>
          <w:sz w:val="24"/>
          <w:szCs w:val="24"/>
          <w:lang w:val="kk-KZ"/>
        </w:rPr>
        <w:t>Ценральн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ого</w:t>
      </w:r>
      <w:r w:rsidRPr="00B143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аппарат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B143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1435C">
        <w:rPr>
          <w:rFonts w:ascii="Times New Roman" w:hAnsi="Times New Roman" w:cs="Times New Roman"/>
          <w:b/>
          <w:bCs/>
          <w:sz w:val="24"/>
          <w:szCs w:val="24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B14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35C" w:rsidRPr="00B1435C" w:rsidRDefault="00B1435C" w:rsidP="00B143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35C" w:rsidRPr="008A75AF" w:rsidRDefault="00B1435C" w:rsidP="00B1435C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 организаций: </w:t>
      </w:r>
      <w:r w:rsidRPr="0079327B">
        <w:rPr>
          <w:rFonts w:ascii="Times New Roman" w:hAnsi="Times New Roman" w:cs="Times New Roman"/>
          <w:b/>
          <w:sz w:val="24"/>
          <w:szCs w:val="24"/>
          <w:lang w:val="kk-KZ"/>
        </w:rPr>
        <w:t>г.Астана, р/н Байконыр, ул. Янушкевича, 2</w:t>
      </w:r>
    </w:p>
    <w:p w:rsidR="00B1435C" w:rsidRPr="008A75AF" w:rsidRDefault="00B1435C" w:rsidP="00B1435C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435C" w:rsidRPr="008A75AF" w:rsidRDefault="00B1435C" w:rsidP="00B14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r w:rsidRPr="00536A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Сакаева Жанаргул Кулжабаевна </w:t>
      </w:r>
    </w:p>
    <w:p w:rsidR="00B465A0" w:rsidRPr="0044208B" w:rsidRDefault="00B465A0" w:rsidP="00B46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 /</w:t>
      </w:r>
      <w:r w:rsidR="00B1435C" w:rsidRPr="00B1435C">
        <w:rPr>
          <w:rFonts w:ascii="Times New Roman" w:hAnsi="Times New Roman" w:cs="Times New Roman"/>
          <w:sz w:val="24"/>
          <w:szCs w:val="24"/>
          <w:lang w:val="kk-KZ"/>
        </w:rPr>
        <w:t xml:space="preserve">7172/ </w:t>
      </w:r>
      <w:r w:rsidRPr="0044208B">
        <w:rPr>
          <w:rFonts w:ascii="Times New Roman" w:hAnsi="Times New Roman" w:cs="Times New Roman"/>
          <w:sz w:val="24"/>
          <w:szCs w:val="24"/>
        </w:rPr>
        <w:t xml:space="preserve">235 605, </w:t>
      </w:r>
      <w:r w:rsidR="00A22FF4">
        <w:rPr>
          <w:rFonts w:ascii="Times New Roman" w:hAnsi="Times New Roman" w:cs="Times New Roman"/>
          <w:sz w:val="24"/>
          <w:szCs w:val="24"/>
          <w:lang w:val="kk-KZ"/>
        </w:rPr>
        <w:t>внут</w:t>
      </w:r>
      <w:r w:rsidRPr="0044208B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B1435C" w:rsidRPr="00B465A0" w:rsidRDefault="00B1435C" w:rsidP="00B465A0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1435C" w:rsidRPr="0079327B" w:rsidRDefault="00B1435C" w:rsidP="00B14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35C" w:rsidRDefault="00B1435C" w:rsidP="00B143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1435C">
        <w:rPr>
          <w:rFonts w:ascii="Times New Roman" w:hAnsi="Times New Roman" w:cs="Times New Roman"/>
          <w:b/>
          <w:sz w:val="24"/>
          <w:szCs w:val="24"/>
          <w:lang w:val="kk-KZ"/>
        </w:rPr>
        <w:t>Начальник отдела сопровождения проектов</w:t>
      </w:r>
      <w:r w:rsidRPr="00B1435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1 единица.</w:t>
      </w:r>
    </w:p>
    <w:p w:rsidR="00536AB0" w:rsidRPr="00B1435C" w:rsidRDefault="00536AB0" w:rsidP="00B143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7785"/>
      </w:tblGrid>
      <w:tr w:rsidR="00080FD3" w:rsidRPr="000E3198" w:rsidTr="00536AB0">
        <w:tc>
          <w:tcPr>
            <w:tcW w:w="2422" w:type="dxa"/>
          </w:tcPr>
          <w:p w:rsidR="00080FD3" w:rsidRPr="00D406C7" w:rsidRDefault="00080FD3" w:rsidP="0053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785" w:type="dxa"/>
          </w:tcPr>
          <w:p w:rsidR="00080FD3" w:rsidRPr="00D406C7" w:rsidRDefault="00080FD3" w:rsidP="0053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080FD3" w:rsidRPr="000E3198" w:rsidTr="00536AB0">
        <w:tc>
          <w:tcPr>
            <w:tcW w:w="2422" w:type="dxa"/>
          </w:tcPr>
          <w:p w:rsidR="00080FD3" w:rsidRPr="00D406C7" w:rsidRDefault="00080FD3" w:rsidP="00536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785" w:type="dxa"/>
          </w:tcPr>
          <w:p w:rsidR="00080FD3" w:rsidRPr="00D406C7" w:rsidRDefault="00080FD3" w:rsidP="00536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sz w:val="24"/>
                <w:szCs w:val="24"/>
              </w:rPr>
              <w:t>Высшее в области строительства и технических наук, специальности: инженер, инженер-экономист в строительстве, инженер-строитель, инженер-проектировщик, инженер-сметчик.</w:t>
            </w:r>
          </w:p>
        </w:tc>
      </w:tr>
      <w:tr w:rsidR="00080FD3" w:rsidRPr="000E3198" w:rsidTr="00536AB0">
        <w:tc>
          <w:tcPr>
            <w:tcW w:w="2422" w:type="dxa"/>
          </w:tcPr>
          <w:p w:rsidR="00080FD3" w:rsidRPr="00D406C7" w:rsidRDefault="00080FD3" w:rsidP="00536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785" w:type="dxa"/>
          </w:tcPr>
          <w:p w:rsidR="00080FD3" w:rsidRPr="00D406C7" w:rsidRDefault="00080FD3" w:rsidP="00536AB0">
            <w:pPr>
              <w:pStyle w:val="a4"/>
              <w:rPr>
                <w:sz w:val="24"/>
                <w:szCs w:val="24"/>
              </w:rPr>
            </w:pPr>
            <w:r w:rsidRPr="00D406C7">
              <w:rPr>
                <w:sz w:val="24"/>
                <w:szCs w:val="24"/>
              </w:rPr>
              <w:t xml:space="preserve">Знание Конституцию Республики Казахстан, Законы Республики Казахстан «О правовых актах», «О противодействии коррупции», «О государственных секретах», </w:t>
            </w:r>
            <w:r w:rsidR="00D406C7">
              <w:rPr>
                <w:sz w:val="24"/>
                <w:szCs w:val="24"/>
                <w:lang w:val="kk-KZ"/>
              </w:rPr>
              <w:t>«</w:t>
            </w:r>
            <w:r w:rsidRPr="00D406C7">
              <w:rPr>
                <w:sz w:val="24"/>
                <w:szCs w:val="24"/>
              </w:rPr>
              <w:t>Об административно процедурно-процессуальным кодексом Республики Казахстан</w:t>
            </w:r>
            <w:r w:rsidR="00D406C7">
              <w:rPr>
                <w:sz w:val="24"/>
                <w:szCs w:val="24"/>
                <w:lang w:val="kk-KZ"/>
              </w:rPr>
              <w:t>»,</w:t>
            </w:r>
            <w:r w:rsidRPr="00D406C7">
              <w:rPr>
                <w:sz w:val="24"/>
                <w:szCs w:val="24"/>
              </w:rPr>
              <w:t xml:space="preserve">  «О государственных закупках», «О государственном имуществе», «О гражданской защите», «Об архитектурной, градостроительной и строительной деятельности», Стратегию «Казахстан – 2050», нормативные правовые акты Республики Казахстан, регулирующие отношения в области государственного материального резерва, строительные правила и нормы.</w:t>
            </w:r>
          </w:p>
        </w:tc>
      </w:tr>
      <w:tr w:rsidR="00080FD3" w:rsidRPr="000E3198" w:rsidTr="00536AB0">
        <w:tc>
          <w:tcPr>
            <w:tcW w:w="2422" w:type="dxa"/>
          </w:tcPr>
          <w:p w:rsidR="00080FD3" w:rsidRPr="00D406C7" w:rsidRDefault="00080FD3" w:rsidP="00536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785" w:type="dxa"/>
          </w:tcPr>
          <w:p w:rsidR="00080FD3" w:rsidRPr="00D406C7" w:rsidRDefault="00080FD3" w:rsidP="00536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работы в должностях, соответствующих функциональным направлениям данной должности не менее двух лет</w:t>
            </w:r>
            <w:r w:rsidRPr="00D40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FD3" w:rsidRPr="000E3198" w:rsidTr="00536AB0">
        <w:tc>
          <w:tcPr>
            <w:tcW w:w="2422" w:type="dxa"/>
          </w:tcPr>
          <w:p w:rsidR="00080FD3" w:rsidRPr="00D406C7" w:rsidRDefault="00080FD3" w:rsidP="00536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7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785" w:type="dxa"/>
          </w:tcPr>
          <w:p w:rsidR="00080FD3" w:rsidRPr="00D406C7" w:rsidRDefault="00080FD3" w:rsidP="00B465A0">
            <w:pPr>
              <w:pStyle w:val="2"/>
              <w:spacing w:after="0" w:line="240" w:lineRule="auto"/>
              <w:ind w:left="0"/>
              <w:jc w:val="both"/>
            </w:pPr>
            <w:bookmarkStart w:id="0" w:name="_GoBack"/>
            <w:r w:rsidRPr="00D406C7">
              <w:rPr>
                <w:lang w:val="kk-KZ"/>
              </w:rPr>
              <w:t>Организация и координация работы работников отдела сопровождения проектов</w:t>
            </w:r>
            <w:r w:rsidR="00B465A0" w:rsidRPr="00D406C7">
              <w:rPr>
                <w:lang w:val="kk-KZ"/>
              </w:rPr>
              <w:t>.</w:t>
            </w:r>
            <w:r w:rsidRPr="00D406C7">
              <w:rPr>
                <w:rFonts w:eastAsiaTheme="minorEastAsia"/>
                <w:lang w:val="kk-KZ"/>
              </w:rPr>
              <w:t xml:space="preserve"> </w:t>
            </w:r>
            <w:r w:rsidRPr="00D406C7">
              <w:t xml:space="preserve">Обеспечение взаимодействия Отдела с филиалами и структурными подразделениями РГП «Резерв» по вопросам технико-технологического и инновационного развития, строительства и ремонта. Взаимодействие по вопросам, относящимся к компетенции отдела, с должностными лицами государственных органов и других организаций. Контроль за качеством работ и соблюдением всех правил ведения работ согласно требованиям законодательства Республики Казахстан. Подготовка предложений по долго-, средне-, краткосрочным планам Предприятия по разработке проектно-сметной документации (далее – ПСД), строительно-монтажным, ремонтным работам. Участие в рассмотрении и разработке ПСД и другой технической документации для проведения строительства, капитального и текущего ремонтов зданий и сооружений филиалов. Контроль за разработкой ПСД на строительство, капитальный и текущий ремонт сооружений Предприятия. Контроль и участие в оформлении актов на скрытые работы, а также на работы, не учтенные ПСД. Контроль за оформлением исполнительной документации по строительным и ремонтным работам; осуществлять контроль за </w:t>
            </w:r>
            <w:r w:rsidRPr="00D406C7">
              <w:lastRenderedPageBreak/>
              <w:t>соблюдением графика производства работ, сроков и качества выполнения строительно-монтажных, ремонтных и проектных работ. Контроль и обеспечение своевременного получения ПСД с проверкой качества и комплектности в соответствии с требованиями системы проектной документации в строительстве и утвержденным заданием на проектирование и технической спецификации. Обеспечение подготовки служебных писем, проектов документов. Организация работы по повышению квалификации работников отдела.  Участие в разработке предпроектной и проектной документации, в техническом сопровождении объектов, на которых производится строительство, капитальный и текущий ремонт, в приемке в эксплуатацию зданий и сооружений после проведения строительства и ремонтных работ. Предоставление руководству Предприятия предложений по распределению средств строительства, капитального и текущего ремонтов по объектам филиалов. Подготовка текущей и периодической отчетности по реализации проектов по строительству, капитальному и текущему ремонту. Разработка технической спецификации для проведения государственных закупок строительно-монтажных и ремонтных работ, на основании материалов, представленных филиалами и структурными подразделениями Предприятия. Контроль за надлежащим исполнением условий договоров о государственных закупках работ, касающихся компетенции отдела.</w:t>
            </w:r>
            <w:bookmarkEnd w:id="0"/>
            <w:r w:rsidRPr="00D406C7">
              <w:t xml:space="preserve"> </w:t>
            </w:r>
          </w:p>
        </w:tc>
      </w:tr>
    </w:tbl>
    <w:p w:rsidR="00080FD3" w:rsidRDefault="00080FD3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080FD3" w:rsidRDefault="00080FD3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080FD3" w:rsidRDefault="00080FD3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sectPr w:rsidR="002560CC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E441C"/>
    <w:rsid w:val="0010355A"/>
    <w:rsid w:val="001509DD"/>
    <w:rsid w:val="001673F0"/>
    <w:rsid w:val="001B2DD2"/>
    <w:rsid w:val="002560CC"/>
    <w:rsid w:val="00483A68"/>
    <w:rsid w:val="004B3C01"/>
    <w:rsid w:val="00533E5B"/>
    <w:rsid w:val="00536AB0"/>
    <w:rsid w:val="005B4B0D"/>
    <w:rsid w:val="006852C5"/>
    <w:rsid w:val="006C1772"/>
    <w:rsid w:val="00764CE6"/>
    <w:rsid w:val="0079327B"/>
    <w:rsid w:val="007E03AA"/>
    <w:rsid w:val="00815A87"/>
    <w:rsid w:val="00842929"/>
    <w:rsid w:val="008709AF"/>
    <w:rsid w:val="008A75AF"/>
    <w:rsid w:val="009011E9"/>
    <w:rsid w:val="009743C4"/>
    <w:rsid w:val="00A22FF4"/>
    <w:rsid w:val="00A60394"/>
    <w:rsid w:val="00B1435C"/>
    <w:rsid w:val="00B44562"/>
    <w:rsid w:val="00B465A0"/>
    <w:rsid w:val="00B779DF"/>
    <w:rsid w:val="00C57808"/>
    <w:rsid w:val="00D202DD"/>
    <w:rsid w:val="00D273C6"/>
    <w:rsid w:val="00D406C7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F800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FAB4-E48B-4934-88FC-8E7BE92E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4</cp:revision>
  <dcterms:created xsi:type="dcterms:W3CDTF">2023-11-29T04:34:00Z</dcterms:created>
  <dcterms:modified xsi:type="dcterms:W3CDTF">2023-12-01T05:46:00Z</dcterms:modified>
</cp:coreProperties>
</file>